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620"/>
        <w:gridCol w:w="5304"/>
        <w:gridCol w:w="259"/>
        <w:gridCol w:w="216"/>
        <w:gridCol w:w="405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C7E77A5" w:rsidR="00093CA9" w:rsidRDefault="00C365BC" w:rsidP="00093CA9">
            <w:proofErr w:type="spellStart"/>
            <w:r>
              <w:t>Blomstein</w:t>
            </w:r>
            <w:proofErr w:type="spellEnd"/>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7C8F38E" w:rsidR="00093CA9" w:rsidRDefault="00633D69" w:rsidP="00093CA9">
            <w:r>
              <w:t>Germany</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A234BB9" w:rsidR="00093CA9" w:rsidRDefault="00F52296" w:rsidP="00093CA9">
            <w:r w:rsidRPr="00F52296">
              <w:t>Bundesbank Climate Stress Testing and Risk Scenarios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01618CB" w:rsidR="00093CA9" w:rsidRDefault="00CD1ABF" w:rsidP="00093CA9">
            <w:hyperlink r:id="rId17" w:history="1">
              <w:r w:rsidRPr="00810980">
                <w:rPr>
                  <w:rStyle w:val="Hyperlink"/>
                </w:rPr>
                <w:t>https://web.archive.org/web/20250704213819/https://www.bundesbank.de/resource/blob/925556/d8c997bae08fc68bef776091ef649e75/472B63F073F071307366337C94F8C870/2025-05-14-dkp-11-data.pdf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6B574FF"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6369847" w:rsidR="00093CA9" w:rsidRDefault="00325060"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77CB841"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5FEFFF9" w14:textId="31029E65" w:rsidR="00093CA9" w:rsidRDefault="004C3118" w:rsidP="00093CA9">
            <w:r w:rsidRPr="004C3118">
              <w:t>The Climate Stress Test for the German Banking Sector</w:t>
            </w:r>
            <w:r w:rsidR="00F814C6">
              <w:t xml:space="preserve"> (</w:t>
            </w:r>
            <w:r w:rsidR="00B401AB" w:rsidRPr="00B401AB">
              <w:t>Bundesbank Climate Stress Test 2025</w:t>
            </w:r>
            <w:r w:rsidR="00B401AB">
              <w:t xml:space="preserve">, abbreviated here for </w:t>
            </w:r>
            <w:proofErr w:type="spellStart"/>
            <w:r w:rsidR="00B401AB">
              <w:t>BBk</w:t>
            </w:r>
            <w:proofErr w:type="spellEnd"/>
            <w:r w:rsidR="00B401AB">
              <w:t xml:space="preserve"> CST 2025</w:t>
            </w:r>
            <w:r w:rsidR="00F814C6">
              <w:t>)</w:t>
            </w:r>
            <w:r w:rsidRPr="004C3118">
              <w:t xml:space="preserve"> sets out how the Deutsche Bundesbank integrates climate-related transition risks into the prudential assessment of credit risk exposures. The tool’s central aim is to quantify the effect of climate transition scenarios on the default probabilities and credit losses in banks’ corporate loan portfolios, thereby supporting supervisors in identifying and assessing emerging climate-related financial risks (p. 1).</w:t>
            </w:r>
          </w:p>
          <w:p w14:paraId="444BFD36" w14:textId="4B112E0D" w:rsidR="004C3118" w:rsidRDefault="006D7D64" w:rsidP="00093CA9">
            <w:r w:rsidRPr="006D7D64">
              <w:t>To achieve this, the Bundesbank combines a micro-level and a macro-level modelling approach. The micro-model uses firm-level data on financials and greenhouse gas emissions to simulate borrower-specific probabilities of default, while the macro-model uses sector-level aggregates and Bayesian model averaging to project PDs under stress scenarios (pp. 3, 9</w:t>
            </w:r>
            <w:r>
              <w:t xml:space="preserve"> and </w:t>
            </w:r>
            <w:r w:rsidRPr="006D7D64">
              <w:t>15). Both models translate transition scenarios</w:t>
            </w:r>
            <w:r>
              <w:t>,</w:t>
            </w:r>
            <w:r w:rsidRPr="006D7D64">
              <w:t xml:space="preserve"> including an orderly “Net Zero 2050” path and a short-term carbon price shock to €200</w:t>
            </w:r>
            <w:r>
              <w:t xml:space="preserve">, </w:t>
            </w:r>
            <w:r w:rsidRPr="006D7D64">
              <w:t>into credit risk metrics over a three-year horizon (pp. 7</w:t>
            </w:r>
            <w:r w:rsidR="003C22B0">
              <w:t>-</w:t>
            </w:r>
            <w:r w:rsidRPr="006D7D64">
              <w:t>8).</w:t>
            </w:r>
          </w:p>
          <w:p w14:paraId="18257824" w14:textId="5A49C31A" w:rsidR="009E736A" w:rsidRDefault="009E736A" w:rsidP="00093CA9">
            <w:r w:rsidRPr="009E736A">
              <w:t>The stress test is not a binding regulatory instrument but serves as an analytical framework to support prudential supervision, particularly by highlighting concentration risks in high-emission sectors and quantifying the vulnerability of less diversified banks (p. 3).</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4EF098E8" w:rsidR="00093CA9" w:rsidRDefault="00F34C3D"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0F5D27EC" w14:textId="5645021E" w:rsidR="00093CA9" w:rsidRDefault="00587240" w:rsidP="00093CA9">
            <w:r w:rsidRPr="00587240">
              <w:t xml:space="preserve">The </w:t>
            </w:r>
            <w:proofErr w:type="spellStart"/>
            <w:r w:rsidR="00ED1E93">
              <w:t>BBk</w:t>
            </w:r>
            <w:proofErr w:type="spellEnd"/>
            <w:r w:rsidR="00ED1E93">
              <w:t xml:space="preserve"> CST 2025</w:t>
            </w:r>
            <w:r w:rsidR="00ED1E93">
              <w:t xml:space="preserve"> </w:t>
            </w:r>
            <w:r w:rsidRPr="00587240">
              <w:t>is not a formal regulatory measure, law or binding supervisory act. It is a methodological and analytical exercise conducted by the Deutsche Bundesbank to quantify climate-related transition risks in the German banking sector</w:t>
            </w:r>
            <w:r>
              <w:t>.</w:t>
            </w:r>
          </w:p>
          <w:p w14:paraId="312E9D7B" w14:textId="203627BE" w:rsidR="000A07AA" w:rsidRDefault="000A07AA" w:rsidP="000A07AA">
            <w:r>
              <w:t>The cover of the document clarifies that “</w:t>
            </w:r>
            <w:r>
              <w:t xml:space="preserve">Discussion Papers represent the </w:t>
            </w:r>
            <w:proofErr w:type="gramStart"/>
            <w:r>
              <w:t>authors‘ personal</w:t>
            </w:r>
            <w:proofErr w:type="gramEnd"/>
            <w:r>
              <w:t xml:space="preserve"> opinions and do not</w:t>
            </w:r>
            <w:r>
              <w:t xml:space="preserve"> </w:t>
            </w:r>
            <w:r>
              <w:t xml:space="preserve">necessarily reflect the views of the Deutsche Bundesbank or the </w:t>
            </w:r>
            <w:proofErr w:type="spellStart"/>
            <w:r>
              <w:t>Eurosystem</w:t>
            </w:r>
            <w:proofErr w:type="spellEnd"/>
            <w:r>
              <w:t>”.</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99E70B2" w:rsidR="00093CA9" w:rsidRPr="00173D7C" w:rsidRDefault="00D945EB" w:rsidP="00093CA9">
            <w:pPr>
              <w:rPr>
                <w:color w:val="000000" w:themeColor="text1"/>
              </w:rPr>
            </w:pPr>
            <w:r>
              <w:rPr>
                <w:color w:val="000000" w:themeColor="text1"/>
              </w:rPr>
              <w:t>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C45612E" w:rsidR="00093CA9" w:rsidRDefault="00411BB5" w:rsidP="00093CA9">
            <w:r w:rsidRPr="00411BB5">
              <w:t>Independent regulatory or supervisory body</w:t>
            </w:r>
            <w:r>
              <w:t xml:space="preserve"> – Deutsche Bundesbank (Germany’s central bank)</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C28594C" w:rsidR="00093CA9" w:rsidRPr="006B7B0D" w:rsidRDefault="00ED1E93" w:rsidP="00093CA9">
            <w:r w:rsidRPr="00ED1E93">
              <w:t xml:space="preserve">Since the </w:t>
            </w:r>
            <w:proofErr w:type="spellStart"/>
            <w:r>
              <w:t>BBk</w:t>
            </w:r>
            <w:proofErr w:type="spellEnd"/>
            <w:r>
              <w:t xml:space="preserve"> CST 2025</w:t>
            </w:r>
            <w:r>
              <w:t xml:space="preserve"> </w:t>
            </w:r>
            <w:r w:rsidRPr="00ED1E93">
              <w:t>is not a binding regulatory instrument, there is no authority formally responsible for implementation or enforcement in the traditional legal sense.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lastRenderedPageBreak/>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lastRenderedPageBreak/>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lastRenderedPageBreak/>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6689DFB" w:rsidR="00093CA9" w:rsidRDefault="00384A50"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3C54B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3C54B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3C54B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C54B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753"/>
        <w:gridCol w:w="3989"/>
        <w:gridCol w:w="288"/>
        <w:gridCol w:w="145"/>
        <w:gridCol w:w="1793"/>
        <w:gridCol w:w="387"/>
        <w:gridCol w:w="1341"/>
        <w:gridCol w:w="176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341EDE6C" w:rsidR="00D4323A" w:rsidRPr="00CF2E7C" w:rsidRDefault="004F01EA"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1F47B392" w:rsidR="00D4323A" w:rsidRPr="00CF2E7C" w:rsidRDefault="004F01EA"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5AE206D" w:rsidR="00D4323A" w:rsidRPr="00CF2E7C" w:rsidRDefault="004F01EA"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26644C47" w:rsidR="00D4323A" w:rsidRPr="00CF2E7C" w:rsidRDefault="001216F3"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0CF1090" w:rsidR="00D4323A" w:rsidRPr="00CF2E7C" w:rsidRDefault="001216F3"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52BB5D2C" w:rsidR="00D4323A" w:rsidRPr="00CF2E7C" w:rsidRDefault="001216F3"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8F23A5F" w:rsidR="00D4323A" w:rsidRPr="00CF2E7C" w:rsidRDefault="001216F3"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FB64319" w:rsidR="00D4323A" w:rsidRPr="00CF2E7C" w:rsidRDefault="001216F3"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0E390834" w:rsidR="00D4323A" w:rsidRPr="00CF2E7C" w:rsidRDefault="001216F3"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3CFC5894" w:rsidR="00D4323A" w:rsidRPr="00CF2E7C" w:rsidRDefault="001216F3"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37DF0D9E" w:rsidR="00D4323A" w:rsidRPr="00CF2E7C" w:rsidRDefault="001216F3"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031A36CD" w:rsidR="00D4323A" w:rsidRPr="00CF2E7C" w:rsidRDefault="001216F3"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1FB50621" w:rsidR="00D4323A" w:rsidRPr="00CF2E7C" w:rsidRDefault="001216F3"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lastRenderedPageBreak/>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613AA28F" w:rsidR="00DD292A" w:rsidRPr="00CF2E7C" w:rsidRDefault="00786F3A"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1D06B9B5" w:rsidR="00DD292A" w:rsidRPr="00CF2E7C" w:rsidRDefault="002D5DA7"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260F1E43" w:rsidR="00DD292A" w:rsidRPr="00CF2E7C" w:rsidRDefault="002D5DA7"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2D08AB16" w:rsidR="00DD292A" w:rsidRPr="00CF2E7C" w:rsidRDefault="002D5DA7"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40982E0E" w:rsidR="00DD292A" w:rsidRPr="00CF2E7C" w:rsidRDefault="002D5DA7"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292B985E" w:rsidR="00DD292A" w:rsidRPr="00CF2E7C" w:rsidRDefault="002D5DA7"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lastRenderedPageBreak/>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C54B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25E87CC6" w:rsidR="00DD292A" w:rsidRPr="00CF2E7C" w:rsidRDefault="00BF5EB3" w:rsidP="00CF2E7C">
            <w:pPr>
              <w:rPr>
                <w:rFonts w:ascii="Calibri" w:hAnsi="Calibri" w:cs="Calibri"/>
              </w:rPr>
            </w:pPr>
            <w:r w:rsidRPr="00BF5EB3">
              <w:rPr>
                <w:rFonts w:ascii="Calibri" w:hAnsi="Calibri" w:cs="Calibri"/>
              </w:rPr>
              <w:t>The analysis only includes entities headquartered in Germany with domestic bank exposures (p. 5).</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15B043CB" w:rsidR="00DD292A" w:rsidRPr="00CF2E7C" w:rsidRDefault="00762734" w:rsidP="00CF2E7C">
            <w:pPr>
              <w:rPr>
                <w:rFonts w:ascii="Calibri" w:hAnsi="Calibri" w:cs="Calibri"/>
              </w:rPr>
            </w:pPr>
            <w:r w:rsidRPr="00762734">
              <w:rPr>
                <w:rFonts w:ascii="Calibri" w:hAnsi="Calibri" w:cs="Calibri"/>
              </w:rPr>
              <w:t>Firms were included based on availability of credit register data and firm-level emissions or financial data (p</w:t>
            </w:r>
            <w:r>
              <w:rPr>
                <w:rFonts w:ascii="Calibri" w:hAnsi="Calibri" w:cs="Calibri"/>
              </w:rPr>
              <w:t>p</w:t>
            </w:r>
            <w:r w:rsidRPr="00762734">
              <w:rPr>
                <w:rFonts w:ascii="Calibri" w:hAnsi="Calibri" w:cs="Calibri"/>
              </w:rPr>
              <w:t>. 4</w:t>
            </w:r>
            <w:r w:rsidR="003C22B0">
              <w:rPr>
                <w:rFonts w:ascii="Calibri" w:hAnsi="Calibri" w:cs="Calibri"/>
              </w:rPr>
              <w:t>-</w:t>
            </w:r>
            <w:r w:rsidRPr="00762734">
              <w:rPr>
                <w:rFonts w:ascii="Calibri" w:hAnsi="Calibri" w:cs="Calibri"/>
              </w:rPr>
              <w:t>5).</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lastRenderedPageBreak/>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1F2D52CA" w:rsidR="00DD3B33" w:rsidRPr="00CF2E7C" w:rsidRDefault="00E26011" w:rsidP="00CF2E7C">
            <w:pPr>
              <w:rPr>
                <w:rFonts w:ascii="Calibri" w:hAnsi="Calibri" w:cs="Calibri"/>
              </w:rPr>
            </w:pPr>
            <w:r>
              <w:rPr>
                <w:rFonts w:ascii="Calibri" w:hAnsi="Calibri" w:cs="Calibri"/>
              </w:rPr>
              <w:t>X</w:t>
            </w: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68CB1377" w:rsidR="00DD292A" w:rsidRPr="00CF2E7C" w:rsidRDefault="002D6E25"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6DD95C6" w14:textId="77777777" w:rsidR="00154DA7" w:rsidRDefault="00AD4931" w:rsidP="00AD4931">
            <w:pPr>
              <w:rPr>
                <w:rFonts w:ascii="Calibri" w:hAnsi="Calibri" w:cs="Calibri"/>
              </w:rPr>
            </w:pPr>
            <w:r w:rsidRPr="00AD4931">
              <w:rPr>
                <w:rFonts w:ascii="Calibri" w:hAnsi="Calibri" w:cs="Calibri"/>
              </w:rPr>
              <w:t>-</w:t>
            </w:r>
            <w:r>
              <w:rPr>
                <w:rFonts w:ascii="Calibri" w:hAnsi="Calibri" w:cs="Calibri"/>
              </w:rPr>
              <w:t xml:space="preserve"> </w:t>
            </w:r>
            <w:r w:rsidRPr="00AD4931">
              <w:rPr>
                <w:rFonts w:ascii="Calibri" w:hAnsi="Calibri" w:cs="Calibri"/>
              </w:rPr>
              <w:t>On 16 July 2025, the Bundesbank announced an online course titled</w:t>
            </w:r>
            <w:r>
              <w:rPr>
                <w:rFonts w:ascii="Calibri" w:hAnsi="Calibri" w:cs="Calibri"/>
              </w:rPr>
              <w:t xml:space="preserve"> </w:t>
            </w:r>
            <w:r w:rsidRPr="00AD4931">
              <w:rPr>
                <w:rFonts w:ascii="Calibri" w:hAnsi="Calibri" w:cs="Calibri"/>
              </w:rPr>
              <w:t>“Current Focus: Climate risks for the German banking sector – the making and the results of Bundesbank’s climate risk stress test”</w:t>
            </w:r>
          </w:p>
          <w:p w14:paraId="496F7156" w14:textId="673D87B4" w:rsidR="00AD4931" w:rsidRPr="00AD4931" w:rsidRDefault="00AD4931" w:rsidP="00AD4931">
            <w:pPr>
              <w:rPr>
                <w:rFonts w:ascii="Calibri" w:hAnsi="Calibri" w:cs="Calibri"/>
              </w:rPr>
            </w:pPr>
            <w:r>
              <w:rPr>
                <w:rFonts w:ascii="Calibri" w:hAnsi="Calibri" w:cs="Calibri"/>
              </w:rPr>
              <w:t xml:space="preserve">Available at: </w:t>
            </w:r>
            <w:hyperlink r:id="rId18" w:history="1">
              <w:r w:rsidR="001E01DB" w:rsidRPr="0011573C">
                <w:rPr>
                  <w:rStyle w:val="Hyperlink"/>
                  <w:rFonts w:ascii="Calibri" w:hAnsi="Calibri" w:cs="Calibri"/>
                </w:rPr>
                <w:t>https://web.archive.org/web/20250705002420/https://www.bundesbank.de/en/bundesbank/international-central-bank-dialogue/international-central-banking-courses-/current-focus-bundesbank-s-climate-risk-stress-test-the-making-and-results-for-german-banks-953758</w:t>
              </w:r>
            </w:hyperlink>
            <w:r w:rsidR="001E01DB">
              <w:rPr>
                <w:rFonts w:ascii="Calibri" w:hAnsi="Calibri" w:cs="Calibri"/>
              </w:rPr>
              <w:t xml:space="preserve"> </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lastRenderedPageBreak/>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1512B7D3" w:rsidR="00DD292A" w:rsidRPr="00CF2E7C" w:rsidRDefault="00AB3FA8"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0FBD703F" w:rsidR="00410853" w:rsidRPr="00CF2E7C" w:rsidRDefault="00E815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3BFB508E" w:rsidR="00F632FB" w:rsidRPr="00CF2E7C" w:rsidRDefault="001950D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34E35B2" w:rsidR="00F632FB" w:rsidRPr="00CF2E7C" w:rsidRDefault="001950D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5A6ECCE6" w:rsidR="00F632FB" w:rsidRPr="00CF2E7C" w:rsidRDefault="001950D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742CC54E" w:rsidR="008C4722" w:rsidRPr="00CF2E7C" w:rsidRDefault="002922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7C2ECE3" w14:textId="3F7DD532" w:rsidR="008C4722" w:rsidRDefault="002D1896" w:rsidP="002D1896">
            <w:pPr>
              <w:textAlignment w:val="baseline"/>
              <w:rPr>
                <w:rFonts w:ascii="Calibri" w:eastAsia="Times New Roman" w:hAnsi="Calibri" w:cs="Calibri"/>
                <w:kern w:val="0"/>
                <w:lang w:eastAsia="en-GB"/>
                <w14:ligatures w14:val="none"/>
              </w:rPr>
            </w:pPr>
            <w:r w:rsidRPr="002D1896">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The </w:t>
            </w:r>
            <w:proofErr w:type="spellStart"/>
            <w:r>
              <w:rPr>
                <w:rFonts w:ascii="Calibri" w:eastAsia="Times New Roman" w:hAnsi="Calibri" w:cs="Calibri"/>
                <w:kern w:val="0"/>
                <w:lang w:eastAsia="en-GB"/>
                <w14:ligatures w14:val="none"/>
              </w:rPr>
              <w:t>BB</w:t>
            </w:r>
            <w:r w:rsidR="006B1B0D">
              <w:rPr>
                <w:rFonts w:ascii="Calibri" w:eastAsia="Times New Roman" w:hAnsi="Calibri" w:cs="Calibri"/>
                <w:kern w:val="0"/>
                <w:lang w:eastAsia="en-GB"/>
                <w14:ligatures w14:val="none"/>
              </w:rPr>
              <w:t>k</w:t>
            </w:r>
            <w:proofErr w:type="spellEnd"/>
            <w:r w:rsidR="006B1B0D">
              <w:rPr>
                <w:rFonts w:ascii="Calibri" w:eastAsia="Times New Roman" w:hAnsi="Calibri" w:cs="Calibri"/>
                <w:kern w:val="0"/>
                <w:lang w:eastAsia="en-GB"/>
                <w14:ligatures w14:val="none"/>
              </w:rPr>
              <w:t xml:space="preserve"> CST</w:t>
            </w:r>
            <w:r w:rsidR="006B1B0D">
              <w:t xml:space="preserve"> </w:t>
            </w:r>
            <w:r w:rsidR="006B1B0D" w:rsidRPr="006B1B0D">
              <w:rPr>
                <w:rFonts w:ascii="Calibri" w:eastAsia="Times New Roman" w:hAnsi="Calibri" w:cs="Calibri"/>
                <w:kern w:val="0"/>
                <w:lang w:eastAsia="en-GB"/>
                <w14:ligatures w14:val="none"/>
              </w:rPr>
              <w:t>models how climate transition scenarios (e.g. carbon pricing) affect the creditworthiness of firms, which in turn alters the credit risk borne by banks via their loan exposures</w:t>
            </w:r>
            <w:r w:rsidR="00173FF6">
              <w:rPr>
                <w:rFonts w:ascii="Calibri" w:eastAsia="Times New Roman" w:hAnsi="Calibri" w:cs="Calibri"/>
                <w:kern w:val="0"/>
                <w:lang w:eastAsia="en-GB"/>
                <w14:ligatures w14:val="none"/>
              </w:rPr>
              <w:t xml:space="preserve"> (pp. 1, 3</w:t>
            </w:r>
            <w:proofErr w:type="gramStart"/>
            <w:r w:rsidR="00173FF6">
              <w:rPr>
                <w:rFonts w:ascii="Calibri" w:eastAsia="Times New Roman" w:hAnsi="Calibri" w:cs="Calibri"/>
                <w:kern w:val="0"/>
                <w:lang w:eastAsia="en-GB"/>
                <w14:ligatures w14:val="none"/>
              </w:rPr>
              <w:t>);</w:t>
            </w:r>
            <w:proofErr w:type="gramEnd"/>
          </w:p>
          <w:p w14:paraId="220CA759" w14:textId="1AC334A8" w:rsidR="00173FF6" w:rsidRDefault="00173FF6" w:rsidP="002D189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834454">
              <w:rPr>
                <w:rFonts w:ascii="Calibri" w:eastAsia="Times New Roman" w:hAnsi="Calibri" w:cs="Calibri"/>
                <w:kern w:val="0"/>
                <w:lang w:eastAsia="en-GB"/>
                <w14:ligatures w14:val="none"/>
              </w:rPr>
              <w:t xml:space="preserve">The </w:t>
            </w:r>
            <w:proofErr w:type="spellStart"/>
            <w:r w:rsidR="00834454">
              <w:rPr>
                <w:rFonts w:ascii="Calibri" w:eastAsia="Times New Roman" w:hAnsi="Calibri" w:cs="Calibri"/>
                <w:kern w:val="0"/>
                <w:lang w:eastAsia="en-GB"/>
                <w14:ligatures w14:val="none"/>
              </w:rPr>
              <w:t>BBk</w:t>
            </w:r>
            <w:proofErr w:type="spellEnd"/>
            <w:r w:rsidR="00834454">
              <w:rPr>
                <w:rFonts w:ascii="Calibri" w:eastAsia="Times New Roman" w:hAnsi="Calibri" w:cs="Calibri"/>
                <w:kern w:val="0"/>
                <w:lang w:eastAsia="en-GB"/>
                <w14:ligatures w14:val="none"/>
              </w:rPr>
              <w:t xml:space="preserve"> CST</w:t>
            </w:r>
            <w:r w:rsidR="00834454">
              <w:rPr>
                <w:rFonts w:ascii="Calibri" w:eastAsia="Times New Roman" w:hAnsi="Calibri" w:cs="Calibri"/>
                <w:kern w:val="0"/>
                <w:lang w:eastAsia="en-GB"/>
                <w14:ligatures w14:val="none"/>
              </w:rPr>
              <w:t xml:space="preserve"> e</w:t>
            </w:r>
            <w:r w:rsidR="00834454" w:rsidRPr="00834454">
              <w:rPr>
                <w:rFonts w:ascii="Calibri" w:eastAsia="Times New Roman" w:hAnsi="Calibri" w:cs="Calibri"/>
                <w:kern w:val="0"/>
                <w:lang w:eastAsia="en-GB"/>
                <w14:ligatures w14:val="none"/>
              </w:rPr>
              <w:t>mphasizes that less diversified institutions are more vulnerable to climate transition risks</w:t>
            </w:r>
            <w:r w:rsidR="00E32308">
              <w:rPr>
                <w:rFonts w:ascii="Calibri" w:eastAsia="Times New Roman" w:hAnsi="Calibri" w:cs="Calibri"/>
                <w:kern w:val="0"/>
                <w:lang w:eastAsia="en-GB"/>
                <w14:ligatures w14:val="none"/>
              </w:rPr>
              <w:t xml:space="preserve"> (p. 3</w:t>
            </w:r>
            <w:proofErr w:type="gramStart"/>
            <w:r w:rsidR="00E32308">
              <w:rPr>
                <w:rFonts w:ascii="Calibri" w:eastAsia="Times New Roman" w:hAnsi="Calibri" w:cs="Calibri"/>
                <w:kern w:val="0"/>
                <w:lang w:eastAsia="en-GB"/>
                <w14:ligatures w14:val="none"/>
              </w:rPr>
              <w:t>);</w:t>
            </w:r>
            <w:proofErr w:type="gramEnd"/>
          </w:p>
          <w:p w14:paraId="03295A24" w14:textId="51F79E1E" w:rsidR="00E32308" w:rsidRDefault="00E32308" w:rsidP="002D189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E32308">
              <w:rPr>
                <w:rFonts w:ascii="Calibri" w:eastAsia="Times New Roman" w:hAnsi="Calibri" w:cs="Calibri"/>
                <w:kern w:val="0"/>
                <w:lang w:eastAsia="en-GB"/>
                <w14:ligatures w14:val="none"/>
              </w:rPr>
              <w:t>The stress test uses granular loan-level exposure data from the Bundesbank’s credit register to assess how borrower-level default risk affects individual banks</w:t>
            </w:r>
            <w:r>
              <w:rPr>
                <w:rFonts w:ascii="Calibri" w:eastAsia="Times New Roman" w:hAnsi="Calibri" w:cs="Calibri"/>
                <w:kern w:val="0"/>
                <w:lang w:eastAsia="en-GB"/>
                <w14:ligatures w14:val="none"/>
              </w:rPr>
              <w:t xml:space="preserve"> (p. 4</w:t>
            </w:r>
            <w:proofErr w:type="gramStart"/>
            <w:r>
              <w:rPr>
                <w:rFonts w:ascii="Calibri" w:eastAsia="Times New Roman" w:hAnsi="Calibri" w:cs="Calibri"/>
                <w:kern w:val="0"/>
                <w:lang w:eastAsia="en-GB"/>
                <w14:ligatures w14:val="none"/>
              </w:rPr>
              <w:t>);</w:t>
            </w:r>
            <w:proofErr w:type="gramEnd"/>
          </w:p>
          <w:p w14:paraId="144E9F87" w14:textId="7357385F" w:rsidR="00E32308" w:rsidRPr="002D1896" w:rsidRDefault="00D72276" w:rsidP="002D189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D72276">
              <w:rPr>
                <w:rFonts w:ascii="Calibri" w:eastAsia="Times New Roman" w:hAnsi="Calibri" w:cs="Calibri"/>
                <w:kern w:val="0"/>
                <w:lang w:eastAsia="en-GB"/>
                <w14:ligatures w14:val="none"/>
              </w:rPr>
              <w:t>By applying both an NGFS “Net Zero 2050” scenario and a short-term carbon price shock scenario, the tool assesses how different policy pathways affect banks’ credit portfolios</w:t>
            </w:r>
            <w:r>
              <w:rPr>
                <w:rFonts w:ascii="Calibri" w:eastAsia="Times New Roman" w:hAnsi="Calibri" w:cs="Calibri"/>
                <w:kern w:val="0"/>
                <w:lang w:eastAsia="en-GB"/>
                <w14:ligatures w14:val="none"/>
              </w:rPr>
              <w:t xml:space="preserve"> (pp. 3, 23).</w:t>
            </w:r>
          </w:p>
          <w:p w14:paraId="39FC6AFA" w14:textId="207D7B95" w:rsidR="001062CE" w:rsidRPr="00CF2E7C" w:rsidRDefault="001062CE"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35030102" w:rsidR="008C4722" w:rsidRPr="00CF2E7C" w:rsidRDefault="000F1C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32DC64C" w14:textId="77777777" w:rsidR="008C4722" w:rsidRDefault="00F5425D" w:rsidP="00CF2E7C">
            <w:pPr>
              <w:textAlignment w:val="baseline"/>
              <w:rPr>
                <w:rFonts w:ascii="Calibri" w:eastAsia="Times New Roman" w:hAnsi="Calibri" w:cs="Calibri"/>
                <w:kern w:val="0"/>
                <w:lang w:eastAsia="en-GB"/>
                <w14:ligatures w14:val="none"/>
              </w:rPr>
            </w:pPr>
            <w:r w:rsidRPr="00F5425D">
              <w:rPr>
                <w:rFonts w:ascii="Calibri" w:eastAsia="Times New Roman" w:hAnsi="Calibri" w:cs="Calibri"/>
                <w:kern w:val="0"/>
                <w:lang w:eastAsia="en-GB"/>
                <w14:ligatures w14:val="none"/>
              </w:rPr>
              <w:t>The policy tool does not explicitly mention the Basel Framework or its Pillars. However, it functions as a Pillar 2-type supervisory instrument, helping authorities assess banks’ climate transition risk exposures and identify vulnerabilities that may require further prudential attention.</w:t>
            </w:r>
          </w:p>
          <w:p w14:paraId="19A08324" w14:textId="398DCB6A" w:rsidR="00D1043E" w:rsidRPr="00CF2E7C" w:rsidRDefault="00D1043E" w:rsidP="00CF2E7C">
            <w:pPr>
              <w:textAlignment w:val="baseline"/>
              <w:rPr>
                <w:rFonts w:ascii="Calibri" w:eastAsia="Times New Roman" w:hAnsi="Calibri" w:cs="Calibri"/>
                <w:kern w:val="0"/>
                <w:lang w:eastAsia="en-GB"/>
                <w14:ligatures w14:val="none"/>
              </w:rPr>
            </w:pPr>
            <w:r w:rsidRPr="00D1043E">
              <w:rPr>
                <w:rFonts w:ascii="Calibri" w:eastAsia="Times New Roman" w:hAnsi="Calibri" w:cs="Calibri"/>
                <w:kern w:val="0"/>
                <w:lang w:eastAsia="en-GB"/>
                <w14:ligatures w14:val="none"/>
              </w:rPr>
              <w:t>The stress test is described as part of the supervisory toolkit to assess financial resilience under adverse scenarios (p. 2)</w:t>
            </w:r>
            <w:r w:rsidR="006F6A83">
              <w:rPr>
                <w:rFonts w:ascii="Calibri" w:eastAsia="Times New Roman" w:hAnsi="Calibri" w:cs="Calibri"/>
                <w:kern w:val="0"/>
                <w:lang w:eastAsia="en-GB"/>
                <w14:ligatures w14:val="none"/>
              </w:rPr>
              <w:t xml:space="preserve"> </w:t>
            </w:r>
            <w:r w:rsidRPr="00D1043E">
              <w:rPr>
                <w:rFonts w:ascii="Calibri" w:eastAsia="Times New Roman" w:hAnsi="Calibri" w:cs="Calibri"/>
                <w:kern w:val="0"/>
                <w:lang w:eastAsia="en-GB"/>
                <w14:ligatures w14:val="none"/>
              </w:rPr>
              <w:t xml:space="preserve">and highlights vulnerabilities at less diversified institutions </w:t>
            </w:r>
            <w:r>
              <w:rPr>
                <w:rFonts w:ascii="Calibri" w:eastAsia="Times New Roman" w:hAnsi="Calibri" w:cs="Calibri"/>
                <w:kern w:val="0"/>
                <w:lang w:eastAsia="en-GB"/>
                <w14:ligatures w14:val="none"/>
              </w:rPr>
              <w:t>(</w:t>
            </w:r>
            <w:r w:rsidRPr="00D1043E">
              <w:rPr>
                <w:rFonts w:ascii="Calibri" w:eastAsia="Times New Roman" w:hAnsi="Calibri" w:cs="Calibri"/>
                <w:kern w:val="0"/>
                <w:lang w:eastAsia="en-GB"/>
                <w14:ligatures w14:val="none"/>
              </w:rPr>
              <w:t>p. 3).</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0C6C5998" w:rsidR="007B7DEE" w:rsidRPr="00CF2E7C" w:rsidRDefault="006F6A8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6EFC5B86" w:rsidR="00ED7E12" w:rsidRPr="00CF2E7C" w:rsidRDefault="008955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169B0318" w:rsidR="00655FF7" w:rsidRPr="00CF2E7C" w:rsidRDefault="00F13B7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361D8CD3" w:rsidR="003032A9" w:rsidRPr="00CF2E7C" w:rsidRDefault="00DD58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613D86C" w:rsidR="003D5104" w:rsidRPr="00CF2E7C" w:rsidRDefault="000C6FF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42626B0B" w:rsidR="003D5104" w:rsidRPr="00CF2E7C" w:rsidRDefault="000C6FF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6604B62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35010">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D19EF31" w14:textId="77777777" w:rsidR="00BE1F9E" w:rsidRDefault="0047270B" w:rsidP="00CF2E7C">
            <w:pPr>
              <w:textAlignment w:val="baseline"/>
              <w:rPr>
                <w:rFonts w:ascii="Calibri" w:eastAsia="Times New Roman" w:hAnsi="Calibri" w:cs="Calibri"/>
                <w:kern w:val="0"/>
                <w:lang w:eastAsia="en-GB"/>
                <w14:ligatures w14:val="none"/>
              </w:rPr>
            </w:pPr>
            <w:r w:rsidRPr="0047270B">
              <w:rPr>
                <w:rFonts w:ascii="Calibri" w:eastAsia="Times New Roman" w:hAnsi="Calibri" w:cs="Calibri"/>
                <w:kern w:val="0"/>
                <w:lang w:eastAsia="en-GB"/>
                <w14:ligatures w14:val="none"/>
              </w:rPr>
              <w:t xml:space="preserve">The </w:t>
            </w:r>
            <w:proofErr w:type="spellStart"/>
            <w:r>
              <w:rPr>
                <w:rFonts w:ascii="Calibri" w:eastAsia="Times New Roman" w:hAnsi="Calibri" w:cs="Calibri"/>
                <w:kern w:val="0"/>
                <w:lang w:eastAsia="en-GB"/>
                <w14:ligatures w14:val="none"/>
              </w:rPr>
              <w:t>BBk</w:t>
            </w:r>
            <w:proofErr w:type="spellEnd"/>
            <w:r>
              <w:rPr>
                <w:rFonts w:ascii="Calibri" w:eastAsia="Times New Roman" w:hAnsi="Calibri" w:cs="Calibri"/>
                <w:kern w:val="0"/>
                <w:lang w:eastAsia="en-GB"/>
                <w14:ligatures w14:val="none"/>
              </w:rPr>
              <w:t xml:space="preserve"> </w:t>
            </w:r>
            <w:proofErr w:type="spellStart"/>
            <w:r>
              <w:rPr>
                <w:rFonts w:ascii="Calibri" w:eastAsia="Times New Roman" w:hAnsi="Calibri" w:cs="Calibri"/>
                <w:kern w:val="0"/>
                <w:lang w:eastAsia="en-GB"/>
                <w14:ligatures w14:val="none"/>
              </w:rPr>
              <w:t>CST</w:t>
            </w:r>
            <w:r w:rsidRPr="0047270B">
              <w:rPr>
                <w:rFonts w:ascii="Calibri" w:eastAsia="Times New Roman" w:hAnsi="Calibri" w:cs="Calibri"/>
                <w:kern w:val="0"/>
                <w:lang w:eastAsia="en-GB"/>
                <w14:ligatures w14:val="none"/>
              </w:rPr>
              <w:t>applies</w:t>
            </w:r>
            <w:proofErr w:type="spellEnd"/>
            <w:r w:rsidRPr="0047270B">
              <w:rPr>
                <w:rFonts w:ascii="Calibri" w:eastAsia="Times New Roman" w:hAnsi="Calibri" w:cs="Calibri"/>
                <w:kern w:val="0"/>
                <w:lang w:eastAsia="en-GB"/>
                <w14:ligatures w14:val="none"/>
              </w:rPr>
              <w:t xml:space="preserve"> internationally recognised climate transition scenarios, specifically those developed by the Network for Greening the Financial System (NGFS). The primary scenario selected is the “Net Zero 2050” orderly transition pathway</w:t>
            </w:r>
            <w:r w:rsidR="009E03EA">
              <w:rPr>
                <w:rFonts w:ascii="Calibri" w:eastAsia="Times New Roman" w:hAnsi="Calibri" w:cs="Calibri"/>
                <w:kern w:val="0"/>
                <w:lang w:eastAsia="en-GB"/>
                <w14:ligatures w14:val="none"/>
              </w:rPr>
              <w:t xml:space="preserve"> (p. 11)</w:t>
            </w:r>
            <w:r w:rsidRPr="0047270B">
              <w:rPr>
                <w:rFonts w:ascii="Calibri" w:eastAsia="Times New Roman" w:hAnsi="Calibri" w:cs="Calibri"/>
                <w:kern w:val="0"/>
                <w:lang w:eastAsia="en-GB"/>
                <w14:ligatures w14:val="none"/>
              </w:rPr>
              <w:t>.</w:t>
            </w:r>
          </w:p>
          <w:p w14:paraId="5C18CF55" w14:textId="17E94DC7" w:rsidR="009E03EA" w:rsidRPr="00CF2E7C" w:rsidRDefault="009E03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Add</w:t>
            </w:r>
            <w:r w:rsidRPr="009E03EA">
              <w:rPr>
                <w:rFonts w:ascii="Calibri" w:eastAsia="Times New Roman" w:hAnsi="Calibri" w:cs="Calibri"/>
                <w:kern w:val="0"/>
                <w:lang w:eastAsia="en-GB"/>
                <w14:ligatures w14:val="none"/>
              </w:rPr>
              <w:t>itionally, the Bundesbank supplements the NGFS scenario with a short-term stress variant that introduces a €200 carbon price shock over a 3-year horizon</w:t>
            </w:r>
            <w:r>
              <w:rPr>
                <w:rFonts w:ascii="Calibri" w:eastAsia="Times New Roman" w:hAnsi="Calibri" w:cs="Calibri"/>
                <w:kern w:val="0"/>
                <w:lang w:eastAsia="en-GB"/>
                <w14:ligatures w14:val="none"/>
              </w:rPr>
              <w:t xml:space="preserve"> (p. 11).</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2F8F32F0" w:rsidR="00DC31BF" w:rsidRPr="00CF2E7C" w:rsidRDefault="00C84B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7477D7DE" w:rsidR="0098226E" w:rsidRPr="00CF2E7C" w:rsidRDefault="00AF05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5343C60" w:rsidR="00F10A6E" w:rsidRPr="00CF2E7C" w:rsidRDefault="005A68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13AD94DA"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754F4925" w:rsidR="00F10A6E" w:rsidRPr="00CF2E7C" w:rsidRDefault="007073D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t>h</w:t>
            </w:r>
            <w:r w:rsidRPr="007073DF">
              <w:rPr>
                <w:rFonts w:ascii="Calibri" w:eastAsia="Times New Roman" w:hAnsi="Calibri" w:cs="Calibri"/>
                <w:kern w:val="0"/>
                <w:lang w:eastAsia="en-GB"/>
                <w14:ligatures w14:val="none"/>
              </w:rPr>
              <w:t xml:space="preserve">e </w:t>
            </w:r>
            <w:proofErr w:type="spellStart"/>
            <w:r w:rsidR="009E66C8">
              <w:rPr>
                <w:rFonts w:ascii="Calibri" w:eastAsia="Times New Roman" w:hAnsi="Calibri" w:cs="Calibri"/>
                <w:kern w:val="0"/>
                <w:lang w:eastAsia="en-GB"/>
                <w14:ligatures w14:val="none"/>
              </w:rPr>
              <w:t>BBk</w:t>
            </w:r>
            <w:proofErr w:type="spellEnd"/>
            <w:r w:rsidR="009E66C8">
              <w:rPr>
                <w:rFonts w:ascii="Calibri" w:eastAsia="Times New Roman" w:hAnsi="Calibri" w:cs="Calibri"/>
                <w:kern w:val="0"/>
                <w:lang w:eastAsia="en-GB"/>
                <w14:ligatures w14:val="none"/>
              </w:rPr>
              <w:t xml:space="preserve"> CST</w:t>
            </w:r>
            <w:r w:rsidRPr="007073DF">
              <w:rPr>
                <w:rFonts w:ascii="Calibri" w:eastAsia="Times New Roman" w:hAnsi="Calibri" w:cs="Calibri"/>
                <w:kern w:val="0"/>
                <w:lang w:eastAsia="en-GB"/>
                <w14:ligatures w14:val="none"/>
              </w:rPr>
              <w:t xml:space="preserve"> uses a 3-year time horizon to assess climate transition risks to banks’ credit exposures</w:t>
            </w:r>
            <w:r w:rsidR="009E66C8">
              <w:rPr>
                <w:rFonts w:ascii="Calibri" w:eastAsia="Times New Roman" w:hAnsi="Calibri" w:cs="Calibri"/>
                <w:kern w:val="0"/>
                <w:lang w:eastAsia="en-GB"/>
                <w14:ligatures w14:val="none"/>
              </w:rPr>
              <w:t xml:space="preserve"> (</w:t>
            </w:r>
            <w:r w:rsidRPr="007073DF">
              <w:rPr>
                <w:rFonts w:ascii="Calibri" w:eastAsia="Times New Roman" w:hAnsi="Calibri" w:cs="Calibri"/>
                <w:kern w:val="0"/>
                <w:lang w:eastAsia="en-GB"/>
                <w14:ligatures w14:val="none"/>
              </w:rPr>
              <w:t>pp. 2</w:t>
            </w:r>
            <w:r w:rsidR="003C22B0">
              <w:rPr>
                <w:rFonts w:ascii="Calibri" w:eastAsia="Times New Roman" w:hAnsi="Calibri" w:cs="Calibri"/>
                <w:kern w:val="0"/>
                <w:lang w:eastAsia="en-GB"/>
                <w14:ligatures w14:val="none"/>
              </w:rPr>
              <w:t>-</w:t>
            </w:r>
            <w:r w:rsidRPr="007073DF">
              <w:rPr>
                <w:rFonts w:ascii="Calibri" w:eastAsia="Times New Roman" w:hAnsi="Calibri" w:cs="Calibri"/>
                <w:kern w:val="0"/>
                <w:lang w:eastAsia="en-GB"/>
                <w14:ligatures w14:val="none"/>
              </w:rPr>
              <w:t>3</w:t>
            </w:r>
            <w:r w:rsidR="009E66C8">
              <w:rPr>
                <w:rFonts w:ascii="Calibri" w:eastAsia="Times New Roman" w:hAnsi="Calibri" w:cs="Calibri"/>
                <w:kern w:val="0"/>
                <w:lang w:eastAsia="en-GB"/>
                <w14:ligatures w14:val="none"/>
              </w:rPr>
              <w:t>)</w:t>
            </w:r>
            <w:r w:rsidRPr="007073DF">
              <w:rPr>
                <w:rFonts w:ascii="Calibri" w:eastAsia="Times New Roman" w:hAnsi="Calibri" w:cs="Calibri"/>
                <w:kern w:val="0"/>
                <w:lang w:eastAsia="en-GB"/>
                <w14:ligatures w14:val="none"/>
              </w:rPr>
              <w:t>. This shorter horizon supports supervisory relevance while capturing material near-term effects of climate policy and carbon pricing.</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2B035BBA" w:rsidR="00F26296" w:rsidRPr="00CF2E7C" w:rsidRDefault="00E5066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4179E5" w14:textId="4CBDB417" w:rsidR="00F26296" w:rsidRDefault="009F01B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R</w:t>
            </w:r>
            <w:r w:rsidRPr="009F01B4">
              <w:rPr>
                <w:rFonts w:ascii="Calibri" w:eastAsia="Times New Roman" w:hAnsi="Calibri" w:cs="Calibri"/>
                <w:kern w:val="0"/>
                <w:lang w:eastAsia="en-GB"/>
                <w14:ligatures w14:val="none"/>
              </w:rPr>
              <w:t>esults are used solely for supervisory understanding and methodological development, without direct implications for the capital or operational requirements of the participating banks</w:t>
            </w:r>
            <w:r w:rsidR="00F05780">
              <w:rPr>
                <w:rFonts w:ascii="Calibri" w:eastAsia="Times New Roman" w:hAnsi="Calibri" w:cs="Calibri"/>
                <w:kern w:val="0"/>
                <w:lang w:eastAsia="en-GB"/>
                <w14:ligatures w14:val="none"/>
              </w:rPr>
              <w:t xml:space="preserve"> (p</w:t>
            </w:r>
            <w:r w:rsidR="003C22B0">
              <w:rPr>
                <w:rFonts w:ascii="Calibri" w:eastAsia="Times New Roman" w:hAnsi="Calibri" w:cs="Calibri"/>
                <w:kern w:val="0"/>
                <w:lang w:eastAsia="en-GB"/>
                <w14:ligatures w14:val="none"/>
              </w:rPr>
              <w:t>p</w:t>
            </w:r>
            <w:r w:rsidR="00F05780">
              <w:rPr>
                <w:rFonts w:ascii="Calibri" w:eastAsia="Times New Roman" w:hAnsi="Calibri" w:cs="Calibri"/>
                <w:kern w:val="0"/>
                <w:lang w:eastAsia="en-GB"/>
                <w14:ligatures w14:val="none"/>
              </w:rPr>
              <w:t>. 2</w:t>
            </w:r>
            <w:r w:rsidR="003C22B0">
              <w:rPr>
                <w:rFonts w:ascii="Calibri" w:eastAsia="Times New Roman" w:hAnsi="Calibri" w:cs="Calibri"/>
                <w:kern w:val="0"/>
                <w:lang w:eastAsia="en-GB"/>
                <w14:ligatures w14:val="none"/>
              </w:rPr>
              <w:t>, 26</w:t>
            </w:r>
            <w:r w:rsidR="00F05780">
              <w:rPr>
                <w:rFonts w:ascii="Calibri" w:eastAsia="Times New Roman" w:hAnsi="Calibri" w:cs="Calibri"/>
                <w:kern w:val="0"/>
                <w:lang w:eastAsia="en-GB"/>
                <w14:ligatures w14:val="none"/>
              </w:rPr>
              <w:t>)</w:t>
            </w:r>
            <w:r w:rsidRPr="009F01B4">
              <w:rPr>
                <w:rFonts w:ascii="Calibri" w:eastAsia="Times New Roman" w:hAnsi="Calibri" w:cs="Calibri"/>
                <w:kern w:val="0"/>
                <w:lang w:eastAsia="en-GB"/>
                <w14:ligatures w14:val="none"/>
              </w:rPr>
              <w:t>.</w:t>
            </w:r>
          </w:p>
          <w:p w14:paraId="380F74F1" w14:textId="77777777" w:rsidR="00F05780" w:rsidRDefault="00F0578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Also, results do not </w:t>
            </w:r>
            <w:r w:rsidR="008638B8">
              <w:rPr>
                <w:rFonts w:ascii="Calibri" w:eastAsia="Times New Roman" w:hAnsi="Calibri" w:cs="Calibri"/>
                <w:kern w:val="0"/>
                <w:lang w:eastAsia="en-GB"/>
                <w14:ligatures w14:val="none"/>
              </w:rPr>
              <w:t>trigger capital or liquidity measures (p. 3).</w:t>
            </w:r>
          </w:p>
          <w:p w14:paraId="02DA5710" w14:textId="63265F63" w:rsidR="002E1EE3" w:rsidRPr="00CF2E7C" w:rsidRDefault="002E1EE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Instead, the stress test is intended to </w:t>
            </w:r>
            <w:r w:rsidR="00C86BFE">
              <w:rPr>
                <w:rFonts w:ascii="Calibri" w:eastAsia="Times New Roman" w:hAnsi="Calibri" w:cs="Calibri"/>
                <w:kern w:val="0"/>
                <w:lang w:eastAsia="en-GB"/>
                <w14:ligatures w14:val="none"/>
              </w:rPr>
              <w:t>i</w:t>
            </w:r>
            <w:r w:rsidR="00C86BFE" w:rsidRPr="00C86BFE">
              <w:rPr>
                <w:rFonts w:ascii="Calibri" w:eastAsia="Times New Roman" w:hAnsi="Calibri" w:cs="Calibri"/>
                <w:kern w:val="0"/>
                <w:lang w:eastAsia="en-GB"/>
                <w14:ligatures w14:val="none"/>
              </w:rPr>
              <w:t>nform future supervisory modelling approaches</w:t>
            </w:r>
            <w:r w:rsidR="00C86BFE">
              <w:rPr>
                <w:rFonts w:ascii="Calibri" w:eastAsia="Times New Roman" w:hAnsi="Calibri" w:cs="Calibri"/>
                <w:kern w:val="0"/>
                <w:lang w:eastAsia="en-GB"/>
                <w14:ligatures w14:val="none"/>
              </w:rPr>
              <w:t>, i</w:t>
            </w:r>
            <w:r w:rsidR="00C86BFE" w:rsidRPr="00C86BFE">
              <w:rPr>
                <w:rFonts w:ascii="Calibri" w:eastAsia="Times New Roman" w:hAnsi="Calibri" w:cs="Calibri"/>
                <w:kern w:val="0"/>
                <w:lang w:eastAsia="en-GB"/>
                <w14:ligatures w14:val="none"/>
              </w:rPr>
              <w:t>dentify risk concentrations in bank portfolios</w:t>
            </w:r>
            <w:r w:rsidR="00C86BFE">
              <w:rPr>
                <w:rFonts w:ascii="Calibri" w:eastAsia="Times New Roman" w:hAnsi="Calibri" w:cs="Calibri"/>
                <w:kern w:val="0"/>
                <w:lang w:eastAsia="en-GB"/>
                <w14:ligatures w14:val="none"/>
              </w:rPr>
              <w:t>, and e</w:t>
            </w:r>
            <w:r w:rsidR="00C86BFE" w:rsidRPr="00C86BFE">
              <w:rPr>
                <w:rFonts w:ascii="Calibri" w:eastAsia="Times New Roman" w:hAnsi="Calibri" w:cs="Calibri"/>
                <w:kern w:val="0"/>
                <w:lang w:eastAsia="en-GB"/>
                <w14:ligatures w14:val="none"/>
              </w:rPr>
              <w:t>nhance methodological capabilities for assessing transition risks under different climate policy scenarios.</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68D9AC4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133F9">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01B33D9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133F9">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lastRenderedPageBreak/>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49E6EC" w14:textId="77777777" w:rsidR="00702413" w:rsidRDefault="004A7BFE" w:rsidP="004A7BFE">
            <w:pPr>
              <w:textAlignment w:val="baseline"/>
              <w:rPr>
                <w:rFonts w:eastAsia="Times New Roman" w:cstheme="minorHAnsi"/>
                <w:kern w:val="0"/>
                <w:lang w:eastAsia="en-GB"/>
                <w14:ligatures w14:val="none"/>
              </w:rPr>
            </w:pPr>
            <w:r w:rsidRPr="004A7BFE">
              <w:rPr>
                <w:rFonts w:eastAsia="Times New Roman" w:cstheme="minorHAnsi"/>
                <w:kern w:val="0"/>
                <w:lang w:eastAsia="en-GB"/>
                <w14:ligatures w14:val="none"/>
              </w:rPr>
              <w:t>-</w:t>
            </w:r>
            <w:r>
              <w:rPr>
                <w:rFonts w:eastAsia="Times New Roman" w:cstheme="minorHAnsi"/>
                <w:kern w:val="0"/>
                <w:lang w:eastAsia="en-GB"/>
                <w14:ligatures w14:val="none"/>
              </w:rPr>
              <w:t xml:space="preserve"> </w:t>
            </w:r>
            <w:r w:rsidRPr="004A7BFE">
              <w:rPr>
                <w:rFonts w:eastAsia="Times New Roman" w:cstheme="minorHAnsi"/>
                <w:kern w:val="0"/>
                <w:lang w:eastAsia="en-GB"/>
                <w14:ligatures w14:val="none"/>
              </w:rPr>
              <w:t xml:space="preserve">Many firms do not report emissions or financial data at the level of detail needed for robust </w:t>
            </w:r>
            <w:proofErr w:type="gramStart"/>
            <w:r w:rsidRPr="004A7BFE">
              <w:rPr>
                <w:rFonts w:eastAsia="Times New Roman" w:cstheme="minorHAnsi"/>
                <w:kern w:val="0"/>
                <w:lang w:eastAsia="en-GB"/>
                <w14:ligatures w14:val="none"/>
              </w:rPr>
              <w:t>modelling</w:t>
            </w:r>
            <w:r>
              <w:rPr>
                <w:rFonts w:eastAsia="Times New Roman" w:cstheme="minorHAnsi"/>
                <w:kern w:val="0"/>
                <w:lang w:eastAsia="en-GB"/>
                <w14:ligatures w14:val="none"/>
              </w:rPr>
              <w:t>;</w:t>
            </w:r>
            <w:proofErr w:type="gramEnd"/>
          </w:p>
          <w:p w14:paraId="42236851" w14:textId="77777777" w:rsidR="004A7BFE" w:rsidRDefault="004A7BFE" w:rsidP="004A7BFE">
            <w:pPr>
              <w:textAlignment w:val="baseline"/>
              <w:rPr>
                <w:rFonts w:eastAsia="Times New Roman" w:cstheme="minorHAnsi"/>
                <w:kern w:val="0"/>
                <w:lang w:eastAsia="en-GB"/>
                <w14:ligatures w14:val="none"/>
              </w:rPr>
            </w:pPr>
            <w:r>
              <w:rPr>
                <w:rFonts w:eastAsia="Times New Roman" w:cstheme="minorHAnsi"/>
                <w:kern w:val="0"/>
                <w:lang w:eastAsia="en-GB"/>
                <w14:ligatures w14:val="none"/>
              </w:rPr>
              <w:lastRenderedPageBreak/>
              <w:t xml:space="preserve">- </w:t>
            </w:r>
            <w:r w:rsidR="000E5D84" w:rsidRPr="000E5D84">
              <w:rPr>
                <w:rFonts w:eastAsia="Times New Roman" w:cstheme="minorHAnsi"/>
                <w:kern w:val="0"/>
                <w:lang w:eastAsia="en-GB"/>
                <w14:ligatures w14:val="none"/>
              </w:rPr>
              <w:t xml:space="preserve">The stress test relies on emerging models with uncertain links between climate factors and credit </w:t>
            </w:r>
            <w:proofErr w:type="gramStart"/>
            <w:r w:rsidR="000E5D84" w:rsidRPr="000E5D84">
              <w:rPr>
                <w:rFonts w:eastAsia="Times New Roman" w:cstheme="minorHAnsi"/>
                <w:kern w:val="0"/>
                <w:lang w:eastAsia="en-GB"/>
                <w14:ligatures w14:val="none"/>
              </w:rPr>
              <w:t>risk</w:t>
            </w:r>
            <w:r w:rsidR="000E5D84">
              <w:rPr>
                <w:rFonts w:eastAsia="Times New Roman" w:cstheme="minorHAnsi"/>
                <w:kern w:val="0"/>
                <w:lang w:eastAsia="en-GB"/>
                <w14:ligatures w14:val="none"/>
              </w:rPr>
              <w:t>;</w:t>
            </w:r>
            <w:proofErr w:type="gramEnd"/>
          </w:p>
          <w:p w14:paraId="3CC16030" w14:textId="0A5D35A2" w:rsidR="005F7AEF" w:rsidRDefault="005F7AEF" w:rsidP="004A7BFE">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Pr="005F7AEF">
              <w:rPr>
                <w:rFonts w:eastAsia="Times New Roman" w:cstheme="minorHAnsi"/>
                <w:kern w:val="0"/>
                <w:lang w:eastAsia="en-GB"/>
                <w14:ligatures w14:val="none"/>
              </w:rPr>
              <w:t>The exercise requires significant modelling capacity and data infrastructure, which may challenge smaller institutions.</w:t>
            </w:r>
          </w:p>
          <w:p w14:paraId="718D87F5" w14:textId="4B15EF56" w:rsidR="005F7AEF" w:rsidRPr="004A7BFE" w:rsidRDefault="005F7AEF" w:rsidP="004A7BFE">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Pr="005F7AEF">
              <w:rPr>
                <w:rFonts w:eastAsia="Times New Roman" w:cstheme="minorHAnsi"/>
                <w:kern w:val="0"/>
                <w:lang w:eastAsia="en-GB"/>
                <w14:ligatures w14:val="none"/>
              </w:rPr>
              <w:t>As a non-binding pilot, the tool has limited influence on banks’ risk management or capital requirements.</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69504E26" w:rsidR="00FE0EA5" w:rsidRPr="009C4D10" w:rsidRDefault="00FE0EA5" w:rsidP="00CF2E7C">
            <w:pPr>
              <w:rPr>
                <w:rFonts w:cstheme="minorHAnsi"/>
              </w:rPr>
            </w:pPr>
            <w:r w:rsidRPr="009C4D10">
              <w:rPr>
                <w:rFonts w:cstheme="minorHAnsi"/>
                <w:lang w:val="en-SG"/>
              </w:rPr>
              <w:t> </w:t>
            </w:r>
            <w:r w:rsidRPr="009C4D10">
              <w:rPr>
                <w:rFonts w:cstheme="minorHAnsi"/>
              </w:rPr>
              <w:t> </w:t>
            </w:r>
            <w:r w:rsidR="005B27CD">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48D2FC3E" w:rsidR="00FE0EA5" w:rsidRPr="009C4D10" w:rsidRDefault="00FE0EA5" w:rsidP="00CF2E7C">
            <w:pPr>
              <w:rPr>
                <w:rFonts w:cstheme="minorHAnsi"/>
              </w:rPr>
            </w:pPr>
            <w:r w:rsidRPr="009C4D10">
              <w:rPr>
                <w:rFonts w:cstheme="minorHAnsi"/>
                <w:lang w:val="en-SG"/>
              </w:rPr>
              <w:t> </w:t>
            </w:r>
            <w:r w:rsidRPr="009C4D10">
              <w:rPr>
                <w:rFonts w:cstheme="minorHAnsi"/>
              </w:rPr>
              <w:t> </w:t>
            </w:r>
            <w:r w:rsidR="005B27CD">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6123BAB3" w:rsidR="00FE0EA5" w:rsidRPr="009C4D10" w:rsidRDefault="00FE0EA5" w:rsidP="00CF2E7C">
            <w:pPr>
              <w:rPr>
                <w:rFonts w:cstheme="minorHAnsi"/>
              </w:rPr>
            </w:pPr>
            <w:r w:rsidRPr="009C4D10">
              <w:rPr>
                <w:rFonts w:cstheme="minorHAnsi"/>
                <w:lang w:val="en-SG"/>
              </w:rPr>
              <w:t> </w:t>
            </w:r>
            <w:r w:rsidR="005B27CD">
              <w:rPr>
                <w:rFonts w:cstheme="minorHAnsi"/>
                <w:lang w:val="en-SG"/>
              </w:rPr>
              <w:t>X</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32BE5F9C" w:rsidR="00FE0EA5" w:rsidRPr="009C4D10" w:rsidRDefault="00FE0EA5" w:rsidP="00CF2E7C">
            <w:pPr>
              <w:rPr>
                <w:rFonts w:cstheme="minorHAnsi"/>
              </w:rPr>
            </w:pPr>
            <w:r w:rsidRPr="009C4D10">
              <w:rPr>
                <w:rFonts w:cstheme="minorHAnsi"/>
                <w:lang w:val="en-SG"/>
              </w:rPr>
              <w:t> </w:t>
            </w:r>
            <w:r w:rsidRPr="009C4D10">
              <w:rPr>
                <w:rFonts w:cstheme="minorHAnsi"/>
              </w:rPr>
              <w:t> </w:t>
            </w:r>
            <w:r w:rsidR="005B27CD">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4C66C3CE" w:rsidR="00FE0EA5" w:rsidRPr="009C4D10" w:rsidRDefault="00FE0EA5" w:rsidP="00CF2E7C">
            <w:pPr>
              <w:rPr>
                <w:rFonts w:cstheme="minorHAnsi"/>
              </w:rPr>
            </w:pPr>
            <w:r w:rsidRPr="009C4D10">
              <w:rPr>
                <w:rFonts w:cstheme="minorHAnsi"/>
                <w:lang w:val="en-SG"/>
              </w:rPr>
              <w:t> </w:t>
            </w:r>
            <w:r w:rsidRPr="009C4D10">
              <w:rPr>
                <w:rFonts w:cstheme="minorHAnsi"/>
              </w:rPr>
              <w:t> </w:t>
            </w:r>
            <w:r w:rsidR="005B27CD">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1D729167" w:rsidR="00FE0EA5" w:rsidRPr="009C4D10" w:rsidRDefault="00FE0EA5" w:rsidP="00CF2E7C">
            <w:pPr>
              <w:rPr>
                <w:rFonts w:cstheme="minorHAnsi"/>
              </w:rPr>
            </w:pPr>
            <w:r w:rsidRPr="009C4D10">
              <w:rPr>
                <w:rFonts w:cstheme="minorHAnsi"/>
              </w:rPr>
              <w:t>  </w:t>
            </w:r>
            <w:r w:rsidR="005B27CD">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4F40CE8B" w:rsidR="00FE0EA5" w:rsidRPr="009C4D10" w:rsidRDefault="00FE0EA5" w:rsidP="00CF2E7C">
            <w:pPr>
              <w:rPr>
                <w:rFonts w:cstheme="minorHAnsi"/>
              </w:rPr>
            </w:pPr>
            <w:r w:rsidRPr="009C4D10">
              <w:rPr>
                <w:rFonts w:cstheme="minorHAnsi"/>
                <w:lang w:val="en-SG"/>
              </w:rPr>
              <w:t> </w:t>
            </w:r>
            <w:r w:rsidRPr="009C4D10">
              <w:rPr>
                <w:rFonts w:cstheme="minorHAnsi"/>
              </w:rPr>
              <w:t> </w:t>
            </w:r>
            <w:r w:rsidR="005B27CD">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3C54B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D2936A" w14:textId="77777777" w:rsidR="0092098E" w:rsidRDefault="0092098E" w:rsidP="00874E39">
      <w:r>
        <w:separator/>
      </w:r>
    </w:p>
  </w:endnote>
  <w:endnote w:type="continuationSeparator" w:id="0">
    <w:p w14:paraId="69EA6F0A" w14:textId="77777777" w:rsidR="0092098E" w:rsidRDefault="0092098E" w:rsidP="00874E39">
      <w:r>
        <w:continuationSeparator/>
      </w:r>
    </w:p>
  </w:endnote>
  <w:endnote w:type="continuationNotice" w:id="1">
    <w:p w14:paraId="20559B33" w14:textId="77777777" w:rsidR="0092098E" w:rsidRDefault="0092098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B463B8" w14:textId="77777777" w:rsidR="0092098E" w:rsidRDefault="0092098E" w:rsidP="00874E39">
      <w:r>
        <w:separator/>
      </w:r>
    </w:p>
  </w:footnote>
  <w:footnote w:type="continuationSeparator" w:id="0">
    <w:p w14:paraId="2D4965BD" w14:textId="77777777" w:rsidR="0092098E" w:rsidRDefault="0092098E" w:rsidP="00874E39">
      <w:r>
        <w:continuationSeparator/>
      </w:r>
    </w:p>
  </w:footnote>
  <w:footnote w:type="continuationNotice" w:id="1">
    <w:p w14:paraId="2E2A708B" w14:textId="77777777" w:rsidR="0092098E" w:rsidRDefault="0092098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2883991"/>
    <w:multiLevelType w:val="hybridMultilevel"/>
    <w:tmpl w:val="3C6C5EE2"/>
    <w:lvl w:ilvl="0" w:tplc="0460150E">
      <w:start w:val="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9FD6C5F"/>
    <w:multiLevelType w:val="hybridMultilevel"/>
    <w:tmpl w:val="10420FA4"/>
    <w:lvl w:ilvl="0" w:tplc="18143DF4">
      <w:start w:val="5"/>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2A014AC"/>
    <w:multiLevelType w:val="hybridMultilevel"/>
    <w:tmpl w:val="9DF2CB22"/>
    <w:lvl w:ilvl="0" w:tplc="2CF62DF6">
      <w:start w:val="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1" w15:restartNumberingAfterBreak="0">
    <w:nsid w:val="7845377C"/>
    <w:multiLevelType w:val="hybridMultilevel"/>
    <w:tmpl w:val="B540EA3E"/>
    <w:lvl w:ilvl="0" w:tplc="08CAA21C">
      <w:start w:val="2"/>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6"/>
  </w:num>
  <w:num w:numId="3" w16cid:durableId="690952733">
    <w:abstractNumId w:val="44"/>
  </w:num>
  <w:num w:numId="4" w16cid:durableId="1689330127">
    <w:abstractNumId w:val="2"/>
  </w:num>
  <w:num w:numId="5" w16cid:durableId="401291788">
    <w:abstractNumId w:val="31"/>
  </w:num>
  <w:num w:numId="6" w16cid:durableId="1276788690">
    <w:abstractNumId w:val="16"/>
  </w:num>
  <w:num w:numId="7" w16cid:durableId="566767730">
    <w:abstractNumId w:val="23"/>
  </w:num>
  <w:num w:numId="8" w16cid:durableId="1780710843">
    <w:abstractNumId w:val="37"/>
  </w:num>
  <w:num w:numId="9" w16cid:durableId="1685783054">
    <w:abstractNumId w:val="4"/>
  </w:num>
  <w:num w:numId="10" w16cid:durableId="950551298">
    <w:abstractNumId w:val="34"/>
  </w:num>
  <w:num w:numId="11" w16cid:durableId="1591960799">
    <w:abstractNumId w:val="50"/>
  </w:num>
  <w:num w:numId="12" w16cid:durableId="1344891410">
    <w:abstractNumId w:val="11"/>
  </w:num>
  <w:num w:numId="13" w16cid:durableId="2023899324">
    <w:abstractNumId w:val="13"/>
  </w:num>
  <w:num w:numId="14" w16cid:durableId="430587014">
    <w:abstractNumId w:val="9"/>
  </w:num>
  <w:num w:numId="15" w16cid:durableId="1742869061">
    <w:abstractNumId w:val="33"/>
  </w:num>
  <w:num w:numId="16" w16cid:durableId="1996450437">
    <w:abstractNumId w:val="22"/>
  </w:num>
  <w:num w:numId="17" w16cid:durableId="1529031027">
    <w:abstractNumId w:val="10"/>
  </w:num>
  <w:num w:numId="18" w16cid:durableId="568614617">
    <w:abstractNumId w:val="20"/>
  </w:num>
  <w:num w:numId="19" w16cid:durableId="1530605858">
    <w:abstractNumId w:val="45"/>
  </w:num>
  <w:num w:numId="20" w16cid:durableId="1328172586">
    <w:abstractNumId w:val="18"/>
  </w:num>
  <w:num w:numId="21" w16cid:durableId="184827816">
    <w:abstractNumId w:val="30"/>
  </w:num>
  <w:num w:numId="22" w16cid:durableId="1785346599">
    <w:abstractNumId w:val="36"/>
  </w:num>
  <w:num w:numId="23" w16cid:durableId="1294288901">
    <w:abstractNumId w:val="29"/>
  </w:num>
  <w:num w:numId="24" w16cid:durableId="1603957975">
    <w:abstractNumId w:val="47"/>
  </w:num>
  <w:num w:numId="25" w16cid:durableId="1659531047">
    <w:abstractNumId w:val="46"/>
  </w:num>
  <w:num w:numId="26" w16cid:durableId="752774403">
    <w:abstractNumId w:val="25"/>
  </w:num>
  <w:num w:numId="27" w16cid:durableId="347872198">
    <w:abstractNumId w:val="8"/>
  </w:num>
  <w:num w:numId="28" w16cid:durableId="537133110">
    <w:abstractNumId w:val="15"/>
  </w:num>
  <w:num w:numId="29" w16cid:durableId="1632318729">
    <w:abstractNumId w:val="48"/>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2"/>
  </w:num>
  <w:num w:numId="36" w16cid:durableId="1952588250">
    <w:abstractNumId w:val="40"/>
  </w:num>
  <w:num w:numId="37" w16cid:durableId="1712027211">
    <w:abstractNumId w:val="5"/>
  </w:num>
  <w:num w:numId="38" w16cid:durableId="2033795929">
    <w:abstractNumId w:val="3"/>
  </w:num>
  <w:num w:numId="39" w16cid:durableId="1238595582">
    <w:abstractNumId w:val="27"/>
  </w:num>
  <w:num w:numId="40" w16cid:durableId="416558262">
    <w:abstractNumId w:val="24"/>
  </w:num>
  <w:num w:numId="41" w16cid:durableId="1543715517">
    <w:abstractNumId w:val="21"/>
  </w:num>
  <w:num w:numId="42" w16cid:durableId="452208391">
    <w:abstractNumId w:val="17"/>
  </w:num>
  <w:num w:numId="43" w16cid:durableId="260340070">
    <w:abstractNumId w:val="0"/>
  </w:num>
  <w:num w:numId="44" w16cid:durableId="1639914969">
    <w:abstractNumId w:val="7"/>
  </w:num>
  <w:num w:numId="45" w16cid:durableId="1554191892">
    <w:abstractNumId w:val="43"/>
  </w:num>
  <w:num w:numId="46" w16cid:durableId="947811845">
    <w:abstractNumId w:val="49"/>
  </w:num>
  <w:num w:numId="47" w16cid:durableId="342588554">
    <w:abstractNumId w:val="28"/>
  </w:num>
  <w:num w:numId="48" w16cid:durableId="318391343">
    <w:abstractNumId w:val="39"/>
  </w:num>
  <w:num w:numId="49" w16cid:durableId="1081637893">
    <w:abstractNumId w:val="14"/>
  </w:num>
  <w:num w:numId="50" w16cid:durableId="891236137">
    <w:abstractNumId w:val="1"/>
  </w:num>
  <w:num w:numId="51" w16cid:durableId="1273321347">
    <w:abstractNumId w:val="6"/>
  </w:num>
  <w:num w:numId="52" w16cid:durableId="1663729048">
    <w:abstractNumId w:val="5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3A"/>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7AA"/>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6FFB"/>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D84"/>
    <w:rsid w:val="000E6110"/>
    <w:rsid w:val="000E6A6A"/>
    <w:rsid w:val="000E7A8A"/>
    <w:rsid w:val="000F1C3B"/>
    <w:rsid w:val="000F4459"/>
    <w:rsid w:val="000F5E92"/>
    <w:rsid w:val="000F690C"/>
    <w:rsid w:val="000F6A41"/>
    <w:rsid w:val="000F6E3B"/>
    <w:rsid w:val="00101305"/>
    <w:rsid w:val="001014D9"/>
    <w:rsid w:val="001021EC"/>
    <w:rsid w:val="00104BA2"/>
    <w:rsid w:val="00104EB1"/>
    <w:rsid w:val="00105889"/>
    <w:rsid w:val="00105C84"/>
    <w:rsid w:val="00105F75"/>
    <w:rsid w:val="001062CE"/>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16F3"/>
    <w:rsid w:val="001221BA"/>
    <w:rsid w:val="00122504"/>
    <w:rsid w:val="00122733"/>
    <w:rsid w:val="0012328A"/>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4DA7"/>
    <w:rsid w:val="00156468"/>
    <w:rsid w:val="00156AE2"/>
    <w:rsid w:val="00156CD5"/>
    <w:rsid w:val="0015734C"/>
    <w:rsid w:val="0016002C"/>
    <w:rsid w:val="00160486"/>
    <w:rsid w:val="001604B3"/>
    <w:rsid w:val="00161D1B"/>
    <w:rsid w:val="00162CC0"/>
    <w:rsid w:val="00164519"/>
    <w:rsid w:val="00172B85"/>
    <w:rsid w:val="00173D7C"/>
    <w:rsid w:val="00173FF6"/>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0D9"/>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1DB"/>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22DB"/>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1896"/>
    <w:rsid w:val="002D22F6"/>
    <w:rsid w:val="002D2A95"/>
    <w:rsid w:val="002D3C0E"/>
    <w:rsid w:val="002D4BBB"/>
    <w:rsid w:val="002D5DA7"/>
    <w:rsid w:val="002D5FEA"/>
    <w:rsid w:val="002D612E"/>
    <w:rsid w:val="002D64FD"/>
    <w:rsid w:val="002D6C18"/>
    <w:rsid w:val="002D6E25"/>
    <w:rsid w:val="002D7255"/>
    <w:rsid w:val="002D7778"/>
    <w:rsid w:val="002D7AAD"/>
    <w:rsid w:val="002D7CA1"/>
    <w:rsid w:val="002E1EE3"/>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4EA4"/>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060"/>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4A50"/>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22B0"/>
    <w:rsid w:val="003C54B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1BB5"/>
    <w:rsid w:val="004133F9"/>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270B"/>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BFE"/>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118"/>
    <w:rsid w:val="004C3866"/>
    <w:rsid w:val="004C3A52"/>
    <w:rsid w:val="004C6739"/>
    <w:rsid w:val="004C70AC"/>
    <w:rsid w:val="004D2730"/>
    <w:rsid w:val="004D3416"/>
    <w:rsid w:val="004D5810"/>
    <w:rsid w:val="004D6484"/>
    <w:rsid w:val="004D7C53"/>
    <w:rsid w:val="004E4F56"/>
    <w:rsid w:val="004E51B5"/>
    <w:rsid w:val="004F01EA"/>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240"/>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681E"/>
    <w:rsid w:val="005A76C9"/>
    <w:rsid w:val="005B27CD"/>
    <w:rsid w:val="005B355B"/>
    <w:rsid w:val="005B4539"/>
    <w:rsid w:val="005C277D"/>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5F7AEF"/>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5010"/>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50A"/>
    <w:rsid w:val="006A4C24"/>
    <w:rsid w:val="006A4C9F"/>
    <w:rsid w:val="006A63B5"/>
    <w:rsid w:val="006B07E5"/>
    <w:rsid w:val="006B0C0B"/>
    <w:rsid w:val="006B1B0D"/>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7D64"/>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6A83"/>
    <w:rsid w:val="006F7123"/>
    <w:rsid w:val="0070013E"/>
    <w:rsid w:val="00702413"/>
    <w:rsid w:val="00702929"/>
    <w:rsid w:val="00702E5A"/>
    <w:rsid w:val="00703034"/>
    <w:rsid w:val="007032D7"/>
    <w:rsid w:val="007055F4"/>
    <w:rsid w:val="00705948"/>
    <w:rsid w:val="00705ADE"/>
    <w:rsid w:val="007066F4"/>
    <w:rsid w:val="007073DF"/>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2734"/>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6F3A"/>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4454"/>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38B8"/>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512"/>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98E"/>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03EA"/>
    <w:rsid w:val="009E133B"/>
    <w:rsid w:val="009E1E61"/>
    <w:rsid w:val="009E21B4"/>
    <w:rsid w:val="009E3D96"/>
    <w:rsid w:val="009E40D3"/>
    <w:rsid w:val="009E4263"/>
    <w:rsid w:val="009E5F98"/>
    <w:rsid w:val="009E6317"/>
    <w:rsid w:val="009E66C8"/>
    <w:rsid w:val="009E736A"/>
    <w:rsid w:val="009E7C10"/>
    <w:rsid w:val="009F01B4"/>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3FA8"/>
    <w:rsid w:val="00AB4F2C"/>
    <w:rsid w:val="00AB64F8"/>
    <w:rsid w:val="00AC6ECF"/>
    <w:rsid w:val="00AC7B6B"/>
    <w:rsid w:val="00AD1216"/>
    <w:rsid w:val="00AD1BC7"/>
    <w:rsid w:val="00AD4477"/>
    <w:rsid w:val="00AD4931"/>
    <w:rsid w:val="00AD4F51"/>
    <w:rsid w:val="00AD5285"/>
    <w:rsid w:val="00AD54D3"/>
    <w:rsid w:val="00AD70E0"/>
    <w:rsid w:val="00AE0028"/>
    <w:rsid w:val="00AE00FE"/>
    <w:rsid w:val="00AE0451"/>
    <w:rsid w:val="00AE0803"/>
    <w:rsid w:val="00AE0ADB"/>
    <w:rsid w:val="00AE2662"/>
    <w:rsid w:val="00AE3CBD"/>
    <w:rsid w:val="00AE5D21"/>
    <w:rsid w:val="00AE7C5F"/>
    <w:rsid w:val="00AF0554"/>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68CD"/>
    <w:rsid w:val="00B310C1"/>
    <w:rsid w:val="00B32231"/>
    <w:rsid w:val="00B35E99"/>
    <w:rsid w:val="00B3764F"/>
    <w:rsid w:val="00B401AB"/>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5EB3"/>
    <w:rsid w:val="00BF6293"/>
    <w:rsid w:val="00BF6E4C"/>
    <w:rsid w:val="00BF71E9"/>
    <w:rsid w:val="00BF71F1"/>
    <w:rsid w:val="00BF76DF"/>
    <w:rsid w:val="00BF7CB5"/>
    <w:rsid w:val="00C01031"/>
    <w:rsid w:val="00C01384"/>
    <w:rsid w:val="00C01AF9"/>
    <w:rsid w:val="00C0274C"/>
    <w:rsid w:val="00C02F33"/>
    <w:rsid w:val="00C04426"/>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B38"/>
    <w:rsid w:val="00C84F1D"/>
    <w:rsid w:val="00C85DD9"/>
    <w:rsid w:val="00C85F5A"/>
    <w:rsid w:val="00C8618D"/>
    <w:rsid w:val="00C86ADF"/>
    <w:rsid w:val="00C86BFE"/>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1ABF"/>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043E"/>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2276"/>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45E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C72"/>
    <w:rsid w:val="00DC7CFF"/>
    <w:rsid w:val="00DC7EFD"/>
    <w:rsid w:val="00DD090B"/>
    <w:rsid w:val="00DD15AE"/>
    <w:rsid w:val="00DD292A"/>
    <w:rsid w:val="00DD3144"/>
    <w:rsid w:val="00DD35ED"/>
    <w:rsid w:val="00DD3B33"/>
    <w:rsid w:val="00DD4AEB"/>
    <w:rsid w:val="00DD4C39"/>
    <w:rsid w:val="00DD5852"/>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011"/>
    <w:rsid w:val="00E26760"/>
    <w:rsid w:val="00E321EB"/>
    <w:rsid w:val="00E32308"/>
    <w:rsid w:val="00E32892"/>
    <w:rsid w:val="00E330BA"/>
    <w:rsid w:val="00E34DED"/>
    <w:rsid w:val="00E368E8"/>
    <w:rsid w:val="00E36D6E"/>
    <w:rsid w:val="00E37C8B"/>
    <w:rsid w:val="00E37ECE"/>
    <w:rsid w:val="00E405B9"/>
    <w:rsid w:val="00E41941"/>
    <w:rsid w:val="00E425D4"/>
    <w:rsid w:val="00E43229"/>
    <w:rsid w:val="00E454C9"/>
    <w:rsid w:val="00E50661"/>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5AC"/>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97E1C"/>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1E93"/>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5780"/>
    <w:rsid w:val="00F07460"/>
    <w:rsid w:val="00F10A6E"/>
    <w:rsid w:val="00F11111"/>
    <w:rsid w:val="00F1189D"/>
    <w:rsid w:val="00F11A81"/>
    <w:rsid w:val="00F11A8A"/>
    <w:rsid w:val="00F13A6D"/>
    <w:rsid w:val="00F13B77"/>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4C3D"/>
    <w:rsid w:val="00F3642C"/>
    <w:rsid w:val="00F3654A"/>
    <w:rsid w:val="00F36C5B"/>
    <w:rsid w:val="00F408F6"/>
    <w:rsid w:val="00F40E78"/>
    <w:rsid w:val="00F41680"/>
    <w:rsid w:val="00F41EE0"/>
    <w:rsid w:val="00F42C39"/>
    <w:rsid w:val="00F511CC"/>
    <w:rsid w:val="00F51334"/>
    <w:rsid w:val="00F5203B"/>
    <w:rsid w:val="00F52296"/>
    <w:rsid w:val="00F526AD"/>
    <w:rsid w:val="00F527B7"/>
    <w:rsid w:val="00F52E73"/>
    <w:rsid w:val="00F52F6F"/>
    <w:rsid w:val="00F53828"/>
    <w:rsid w:val="00F5425D"/>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14C6"/>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5002420/https://www.bundesbank.de/en/bundesbank/international-central-bank-dialogue/international-central-banking-courses-/current-focus-bundesbank-s-climate-risk-stress-test-the-making-and-results-for-german-banks-953758"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4213819/https://www.bundesbank.de/resource/blob/925556/d8c997bae08fc68bef776091ef649e75/472B63F073F071307366337C94F8C870/2025-05-14-dkp-11-data.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22667</Words>
  <Characters>129204</Characters>
  <Application>Microsoft Office Word</Application>
  <DocSecurity>0</DocSecurity>
  <Lines>1076</Lines>
  <Paragraphs>303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72</cp:revision>
  <cp:lastPrinted>2025-03-21T00:14:00Z</cp:lastPrinted>
  <dcterms:created xsi:type="dcterms:W3CDTF">2025-06-20T15:57:00Z</dcterms:created>
  <dcterms:modified xsi:type="dcterms:W3CDTF">2025-07-05T01:14:00Z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